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hd w:fill="1C1C1C" w:val="clear"/>
        <w:spacing w:after="60" w:before="160"/>
        <w:ind w:left="200"/>
      </w:pPr>
      <w:r>
        <w:rPr>
          <w:rFonts w:ascii="Arial" w:cs="Arial" w:eastAsia="Arial" w:hAnsi="Arial"/>
          <w:b/>
          <w:bCs/>
          <w:i w:val="false"/>
          <w:iCs w:val="false"/>
          <w:color w:val="FFFFFF"/>
          <w:sz w:val="36"/>
          <w:szCs w:val="36"/>
        </w:rPr>
        <w:t xml:space="preserve">AI Acceptable-Use Policy</w:t>
      </w:r>
    </w:p>
    <w:p>
      <w:pPr>
        <w:shd w:fill="1C1C1C" w:val="clear"/>
        <w:spacing w:after="60" w:before="0"/>
        <w:ind w:left="200"/>
      </w:pPr>
      <w:r>
        <w:rPr>
          <w:rFonts w:ascii="Arial" w:cs="Arial" w:eastAsia="Arial" w:hAnsi="Arial"/>
          <w:b w:val="false"/>
          <w:bCs w:val="false"/>
          <w:i/>
          <w:iCs/>
          <w:color w:val="AAAAAA"/>
          <w:sz w:val="18"/>
          <w:szCs w:val="18"/>
        </w:rPr>
        <w:t xml:space="preserve">The Operator's Manual for Artificial Intelligence</w:t>
      </w:r>
    </w:p>
    <w:p>
      <w:pPr>
        <w:shd w:fill="1C1C1C" w:val="clear"/>
        <w:spacing w:after="200" w:before="0"/>
        <w:ind w:left="200"/>
      </w:pPr>
      <w:r>
        <w:rPr>
          <w:rFonts w:ascii="Arial" w:cs="Arial" w:eastAsia="Arial" w:hAnsi="Arial"/>
          <w:b w:val="false"/>
          <w:bCs w:val="false"/>
          <w:i/>
          <w:iCs/>
          <w:color w:val="CCCCCC"/>
          <w:sz w:val="18"/>
          <w:szCs w:val="18"/>
        </w:rPr>
        <w:t xml:space="preserve">Template Kit — Document 1 of 6</w:t>
      </w:r>
    </w:p>
    <w:p>
      <w:pPr>
        <w:shd w:fill="FFF8E6" w:val="clear"/>
        <w:spacing w:after="60" w:before="120"/>
        <w:ind w:left="180" w:right="180"/>
      </w:pPr>
      <w:r>
        <w:rPr>
          <w:rFonts w:ascii="Arial" w:cs="Arial" w:eastAsia="Arial" w:hAnsi="Arial"/>
          <w:b/>
          <w:bCs/>
          <w:i w:val="false"/>
          <w:iCs w:val="false"/>
          <w:color w:val="8A5C00"/>
          <w:sz w:val="20"/>
          <w:szCs w:val="20"/>
        </w:rPr>
        <w:t xml:space="preserve">IMPORTANT — BEFORE YOU USE THESE TEMPLATES</w:t>
      </w:r>
    </w:p>
    <w:p>
      <w:pPr>
        <w:shd w:fill="FFF8E6" w:val="clear"/>
        <w:spacing w:after="120" w:before="0"/>
        <w:ind w:left="180" w:right="180"/>
      </w:pPr>
      <w:r>
        <w:rPr>
          <w:rFonts w:ascii="Arial" w:cs="Arial" w:eastAsia="Arial" w:hAnsi="Arial"/>
          <w:b w:val="false"/>
          <w:bCs w:val="false"/>
          <w:i/>
          <w:iCs/>
          <w:sz w:val="20"/>
          <w:szCs w:val="20"/>
        </w:rPr>
        <w:t xml:space="preserve">These templates are starting points for organizations without existing AI governance. They are not legal documents and are not a substitute for qualified legal counsel. Review and adapt them to your specific jurisdiction, industry, and situation before use. Do not implement any policy, form, or checklist from this kit without professional review. The Operator's Manual for Artificial Intelligence makes no representations as to their completeness, accuracy, or fitness for any particular purpose.</w:t>
      </w:r>
    </w:p>
    <w:p>
      <w:pPr>
        <w:spacing w:after="200"/>
      </w:pPr>
      <w:r>
        <w:t xml:space="preserve"/>
      </w:r>
    </w:p>
    <w:p>
      <w:pPr>
        <w:pBdr>
          <w:bottom w:val="single" w:color="CCCCCC" w:sz="3"/>
        </w:pBdr>
        <w:spacing w:after="160" w:before="320"/>
      </w:pPr>
      <w:r>
        <w:rPr>
          <w:rFonts w:ascii="Arial" w:cs="Arial" w:eastAsia="Arial" w:hAnsi="Arial"/>
          <w:b/>
          <w:bCs/>
          <w:i w:val="false"/>
          <w:iCs w:val="false"/>
          <w:sz w:val="24"/>
          <w:szCs w:val="24"/>
        </w:rPr>
        <w:t xml:space="preserve">1. Document Information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rPr>
          <w:tblHeader/>
        </w:trPr>
        <w:tc>
          <w:tcPr>
            <w:tcW w:type="dxa" w:w="30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Field</w:t>
            </w:r>
          </w:p>
        </w:tc>
        <w:tc>
          <w:tcPr>
            <w:tcW w:type="dxa" w:w="63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Entry</w:t>
            </w:r>
          </w:p>
        </w:tc>
      </w:tr>
      <w:tr>
        <w:tc>
          <w:tcPr>
            <w:tcW w:type="dxa" w:w="3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Organization Name</w:t>
            </w:r>
          </w:p>
        </w:tc>
        <w:tc>
          <w:tcPr>
            <w:tcW w:type="dxa" w:w="6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Enter organization name ]</w:t>
            </w:r>
          </w:p>
        </w:tc>
      </w:tr>
      <w:tr>
        <w:tc>
          <w:tcPr>
            <w:tcW w:type="dxa" w:w="3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Policy Title</w:t>
            </w:r>
          </w:p>
        </w:tc>
        <w:tc>
          <w:tcPr>
            <w:tcW w:type="dxa" w:w="6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AI Acceptable-Use Policy</w:t>
            </w:r>
          </w:p>
        </w:tc>
      </w:tr>
      <w:tr>
        <w:tc>
          <w:tcPr>
            <w:tcW w:type="dxa" w:w="3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Version</w:t>
            </w:r>
          </w:p>
        </w:tc>
        <w:tc>
          <w:tcPr>
            <w:tcW w:type="dxa" w:w="6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1.0</w:t>
            </w:r>
          </w:p>
        </w:tc>
      </w:tr>
      <w:tr>
        <w:tc>
          <w:tcPr>
            <w:tcW w:type="dxa" w:w="3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Effective Date</w:t>
            </w:r>
          </w:p>
        </w:tc>
        <w:tc>
          <w:tcPr>
            <w:tcW w:type="dxa" w:w="6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Enter date ]</w:t>
            </w:r>
          </w:p>
        </w:tc>
      </w:tr>
      <w:tr>
        <w:tc>
          <w:tcPr>
            <w:tcW w:type="dxa" w:w="3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Policy Owner</w:t>
            </w:r>
          </w:p>
        </w:tc>
        <w:tc>
          <w:tcPr>
            <w:tcW w:type="dxa" w:w="6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Name and title ]</w:t>
            </w:r>
          </w:p>
        </w:tc>
      </w:tr>
      <w:tr>
        <w:tc>
          <w:tcPr>
            <w:tcW w:type="dxa" w:w="3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Approved By</w:t>
            </w:r>
          </w:p>
        </w:tc>
        <w:tc>
          <w:tcPr>
            <w:tcW w:type="dxa" w:w="6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Name and title ]</w:t>
            </w:r>
          </w:p>
        </w:tc>
      </w:tr>
      <w:tr>
        <w:tc>
          <w:tcPr>
            <w:tcW w:type="dxa" w:w="3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Next Review Date</w:t>
            </w:r>
          </w:p>
        </w:tc>
        <w:tc>
          <w:tcPr>
            <w:tcW w:type="dxa" w:w="6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Enter date — recommended annually ]</w:t>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2. Purpose</w:t>
      </w:r>
    </w:p>
    <w:p>
      <w:pPr>
        <w:spacing w:after="120" w:before="0"/>
        <w:jc w:val="left"/>
      </w:pPr>
      <w:r>
        <w:rPr>
          <w:rFonts w:ascii="Arial" w:cs="Arial" w:eastAsia="Arial" w:hAnsi="Arial"/>
          <w:b w:val="false"/>
          <w:bCs w:val="false"/>
          <w:i w:val="false"/>
          <w:iCs w:val="false"/>
          <w:sz w:val="22"/>
          <w:szCs w:val="22"/>
        </w:rPr>
        <w:t xml:space="preserve">This policy establishes the rules for using artificial intelligence tools within [Organization Name]. It defines which tools may be used, by whom, and under what conditions. It protects the organization, its employees, its clients, and the people whose data may be involved.</w:t>
      </w:r>
    </w:p>
    <w:p>
      <w:pPr>
        <w:spacing w:after="120" w:before="0"/>
        <w:jc w:val="left"/>
      </w:pPr>
      <w:r>
        <w:rPr>
          <w:rFonts w:ascii="Arial" w:cs="Arial" w:eastAsia="Arial" w:hAnsi="Arial"/>
          <w:b w:val="false"/>
          <w:bCs w:val="false"/>
          <w:i w:val="false"/>
          <w:iCs w:val="false"/>
          <w:sz w:val="22"/>
          <w:szCs w:val="22"/>
        </w:rPr>
        <w:t xml:space="preserve">This policy applies to all AI tools — including chat assistants, writing tools, code generators, image generators, and AI-enabled features within existing software — used in connection with any organizational task.</w:t>
      </w:r>
    </w:p>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3. Scope</w:t>
      </w:r>
    </w:p>
    <w:p>
      <w:pPr>
        <w:spacing w:after="120" w:before="0"/>
        <w:jc w:val="left"/>
      </w:pPr>
      <w:r>
        <w:rPr>
          <w:rFonts w:ascii="Arial" w:cs="Arial" w:eastAsia="Arial" w:hAnsi="Arial"/>
          <w:b w:val="false"/>
          <w:bCs w:val="false"/>
          <w:i w:val="false"/>
          <w:iCs w:val="false"/>
          <w:sz w:val="22"/>
          <w:szCs w:val="22"/>
        </w:rPr>
        <w:t xml:space="preserve">This policy applies to all employees, contractors, consultants, and third parties who use AI tools in connection with work for [Organization Name], regardless of whether they are using organizational devices or personal devices.</w:t>
      </w:r>
    </w:p>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4. Approved AI Tools</w:t>
      </w:r>
    </w:p>
    <w:p>
      <w:pPr>
        <w:spacing w:after="120" w:before="0"/>
        <w:jc w:val="left"/>
      </w:pPr>
      <w:r>
        <w:rPr>
          <w:rFonts w:ascii="Arial" w:cs="Arial" w:eastAsia="Arial" w:hAnsi="Arial"/>
          <w:b w:val="false"/>
          <w:bCs w:val="false"/>
          <w:i w:val="false"/>
          <w:iCs w:val="false"/>
          <w:sz w:val="22"/>
          <w:szCs w:val="22"/>
        </w:rPr>
        <w:t xml:space="preserve">Only the tools listed below are approved for use. Using AI tools not on this list for organizational work requires prior written approval from the Policy Owner.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2800"/>
        <w:gridCol w:w="2000"/>
        <w:gridCol w:w="2360"/>
      </w:tblGrid>
      <w:tr>
        <w:trPr>
          <w:tblHeader/>
        </w:trPr>
        <w:tc>
          <w:tcPr>
            <w:tcW w:type="dxa" w:w="22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Tool</w:t>
            </w:r>
          </w:p>
        </w:tc>
        <w:tc>
          <w:tcPr>
            <w:tcW w:type="dxa" w:w="28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Approved For</w:t>
            </w:r>
          </w:p>
        </w:tc>
        <w:tc>
          <w:tcPr>
            <w:tcW w:type="dxa" w:w="20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Who May Use</w:t>
            </w:r>
          </w:p>
        </w:tc>
        <w:tc>
          <w:tcPr>
            <w:tcW w:type="dxa" w:w="23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Restrictions</w:t>
            </w:r>
          </w:p>
        </w:tc>
      </w:tr>
      <w:tr>
        <w:tc>
          <w:tcPr>
            <w:tcW w:type="dxa" w:w="22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Tool name ]</w:t>
            </w:r>
          </w:p>
        </w:tc>
        <w:tc>
          <w:tcPr>
            <w:tcW w:type="dxa" w:w="2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Describe permitted use ]</w:t>
            </w:r>
          </w:p>
        </w:tc>
        <w:tc>
          <w:tcPr>
            <w:tcW w:type="dxa" w:w="2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Role or team ]</w:t>
            </w:r>
          </w:p>
        </w:tc>
        <w:tc>
          <w:tcPr>
            <w:tcW w:type="dxa" w:w="2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Any limits ]</w:t>
            </w:r>
          </w:p>
        </w:tc>
      </w:tr>
      <w:tr>
        <w:tc>
          <w:tcPr>
            <w:tcW w:type="dxa" w:w="22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Tool name ]</w:t>
            </w:r>
          </w:p>
        </w:tc>
        <w:tc>
          <w:tcPr>
            <w:tcW w:type="dxa" w:w="2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Describe permitted use ]</w:t>
            </w:r>
          </w:p>
        </w:tc>
        <w:tc>
          <w:tcPr>
            <w:tcW w:type="dxa" w:w="2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Role or team ]</w:t>
            </w:r>
          </w:p>
        </w:tc>
        <w:tc>
          <w:tcPr>
            <w:tcW w:type="dxa" w:w="2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Any limits ]</w:t>
            </w:r>
          </w:p>
        </w:tc>
      </w:tr>
      <w:tr>
        <w:tc>
          <w:tcPr>
            <w:tcW w:type="dxa" w:w="22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Tool name ]</w:t>
            </w:r>
          </w:p>
        </w:tc>
        <w:tc>
          <w:tcPr>
            <w:tcW w:type="dxa" w:w="2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Describe permitted use ]</w:t>
            </w:r>
          </w:p>
        </w:tc>
        <w:tc>
          <w:tcPr>
            <w:tcW w:type="dxa" w:w="2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Role or team ]</w:t>
            </w:r>
          </w:p>
        </w:tc>
        <w:tc>
          <w:tcPr>
            <w:tcW w:type="dxa" w:w="2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Any limits ]</w:t>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5. Permitted Uses</w:t>
      </w:r>
    </w:p>
    <w:p>
      <w:pPr>
        <w:spacing w:after="120" w:before="0"/>
        <w:jc w:val="left"/>
      </w:pPr>
      <w:r>
        <w:rPr>
          <w:rFonts w:ascii="Arial" w:cs="Arial" w:eastAsia="Arial" w:hAnsi="Arial"/>
          <w:b w:val="false"/>
          <w:bCs w:val="false"/>
          <w:i w:val="false"/>
          <w:iCs w:val="false"/>
          <w:sz w:val="22"/>
          <w:szCs w:val="22"/>
        </w:rPr>
        <w:t xml:space="preserve">AI tools may be used for the following purposes, subject to the risk controls in Section 7:</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800"/>
        <w:gridCol w:w="1800"/>
        <w:gridCol w:w="3760"/>
      </w:tblGrid>
      <w:tr>
        <w:trPr>
          <w:tblHeader/>
        </w:trPr>
        <w:tc>
          <w:tcPr>
            <w:tcW w:type="dxa" w:w="38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Permitted Use</w:t>
            </w:r>
          </w:p>
        </w:tc>
        <w:tc>
          <w:tcPr>
            <w:tcW w:type="dxa" w:w="18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Risk Level</w:t>
            </w:r>
          </w:p>
        </w:tc>
        <w:tc>
          <w:tcPr>
            <w:tcW w:type="dxa" w:w="37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Control Required</w:t>
            </w:r>
          </w:p>
        </w:tc>
      </w:tr>
      <w:tr>
        <w:tc>
          <w:tcPr>
            <w:tcW w:type="dxa" w:w="3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Drafting and editing documents</w:t>
            </w:r>
          </w:p>
        </w:tc>
        <w:tc>
          <w:tcPr>
            <w:tcW w:type="dxa" w:w="1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Low–Medium</w:t>
            </w:r>
          </w:p>
        </w:tc>
        <w:tc>
          <w:tcPr>
            <w:tcW w:type="dxa" w:w="37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Review before sending</w:t>
            </w:r>
          </w:p>
        </w:tc>
      </w:tr>
      <w:tr>
        <w:tc>
          <w:tcPr>
            <w:tcW w:type="dxa" w:w="3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Summarizing internal documents</w:t>
            </w:r>
          </w:p>
        </w:tc>
        <w:tc>
          <w:tcPr>
            <w:tcW w:type="dxa" w:w="1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Low–Medium</w:t>
            </w:r>
          </w:p>
        </w:tc>
        <w:tc>
          <w:tcPr>
            <w:tcW w:type="dxa" w:w="37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Review for omissions</w:t>
            </w:r>
          </w:p>
        </w:tc>
      </w:tr>
      <w:tr>
        <w:tc>
          <w:tcPr>
            <w:tcW w:type="dxa" w:w="3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Brainstorming and ideation</w:t>
            </w:r>
          </w:p>
        </w:tc>
        <w:tc>
          <w:tcPr>
            <w:tcW w:type="dxa" w:w="1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Low</w:t>
            </w:r>
          </w:p>
        </w:tc>
        <w:tc>
          <w:tcPr>
            <w:tcW w:type="dxa" w:w="37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Standard judgment</w:t>
            </w:r>
          </w:p>
        </w:tc>
      </w:tr>
      <w:tr>
        <w:tc>
          <w:tcPr>
            <w:tcW w:type="dxa" w:w="3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Rewriting or reformatting content</w:t>
            </w:r>
          </w:p>
        </w:tc>
        <w:tc>
          <w:tcPr>
            <w:tcW w:type="dxa" w:w="1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Low</w:t>
            </w:r>
          </w:p>
        </w:tc>
        <w:tc>
          <w:tcPr>
            <w:tcW w:type="dxa" w:w="37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Standard judgment</w:t>
            </w:r>
          </w:p>
        </w:tc>
      </w:tr>
      <w:tr>
        <w:tc>
          <w:tcPr>
            <w:tcW w:type="dxa" w:w="3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Generating code for internal review</w:t>
            </w:r>
          </w:p>
        </w:tc>
        <w:tc>
          <w:tcPr>
            <w:tcW w:type="dxa" w:w="18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Medium</w:t>
            </w:r>
          </w:p>
        </w:tc>
        <w:tc>
          <w:tcPr>
            <w:tcW w:type="dxa" w:w="37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Technical review before use</w:t>
            </w:r>
          </w:p>
        </w:tc>
      </w:tr>
      <w:tr>
        <w:tc>
          <w:tcPr>
            <w:tcW w:type="dxa" w:w="3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Research and background information</w:t>
            </w:r>
          </w:p>
        </w:tc>
        <w:tc>
          <w:tcPr>
            <w:tcW w:type="dxa" w:w="18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Medium</w:t>
            </w:r>
          </w:p>
        </w:tc>
        <w:tc>
          <w:tcPr>
            <w:tcW w:type="dxa" w:w="37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Verify against primary sources</w:t>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6. Prohibited Uses</w:t>
      </w:r>
    </w:p>
    <w:p>
      <w:pPr>
        <w:spacing w:after="120" w:before="0"/>
        <w:jc w:val="left"/>
      </w:pPr>
      <w:r>
        <w:rPr>
          <w:rFonts w:ascii="Arial" w:cs="Arial" w:eastAsia="Arial" w:hAnsi="Arial"/>
          <w:b w:val="false"/>
          <w:bCs w:val="false"/>
          <w:i w:val="false"/>
          <w:iCs w:val="false"/>
          <w:sz w:val="22"/>
          <w:szCs w:val="22"/>
        </w:rPr>
        <w:t xml:space="preserve">The following uses are prohibited. This list is not exhaustive. When in doubt, treat the task as prohibited until the Policy Owner confirms otherwise.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3000"/>
        <w:gridCol w:w="2760"/>
      </w:tblGrid>
      <w:tr>
        <w:trPr>
          <w:tblHeader/>
        </w:trPr>
        <w:tc>
          <w:tcPr>
            <w:tcW w:type="dxa" w:w="36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Prohibited Action</w:t>
            </w:r>
          </w:p>
        </w:tc>
        <w:tc>
          <w:tcPr>
            <w:tcW w:type="dxa" w:w="30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Why</w:t>
            </w:r>
          </w:p>
        </w:tc>
        <w:tc>
          <w:tcPr>
            <w:tcW w:type="dxa" w:w="27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Risk Level</w:t>
            </w:r>
          </w:p>
        </w:tc>
      </w:tr>
      <w:tr>
        <w:tc>
          <w:tcPr>
            <w:tcW w:type="dxa" w:w="36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Pasting personally identifiable information (PII)</w:t>
            </w:r>
          </w:p>
        </w:tc>
        <w:tc>
          <w:tcPr>
            <w:tcW w:type="dxa" w:w="3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Data exposure; may breach privacy law</w:t>
            </w:r>
          </w:p>
        </w:tc>
        <w:tc>
          <w:tcPr>
            <w:tcW w:type="dxa" w:w="27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Prohibited Without Governance</w:t>
            </w:r>
          </w:p>
        </w:tc>
      </w:tr>
      <w:tr>
        <w:tc>
          <w:tcPr>
            <w:tcW w:type="dxa" w:w="36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Pasting credentials, passwords, or API keys</w:t>
            </w:r>
          </w:p>
        </w:tc>
        <w:tc>
          <w:tcPr>
            <w:tcW w:type="dxa" w:w="3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Immediate security risk</w:t>
            </w:r>
          </w:p>
        </w:tc>
        <w:tc>
          <w:tcPr>
            <w:tcW w:type="dxa" w:w="27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Prohibited Without Governance</w:t>
            </w:r>
          </w:p>
        </w:tc>
      </w:tr>
      <w:tr>
        <w:tc>
          <w:tcPr>
            <w:tcW w:type="dxa" w:w="36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Pasting confidential client or patient data</w:t>
            </w:r>
          </w:p>
        </w:tc>
        <w:tc>
          <w:tcPr>
            <w:tcW w:type="dxa" w:w="3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Regulatory and legal exposure</w:t>
            </w:r>
          </w:p>
        </w:tc>
        <w:tc>
          <w:tcPr>
            <w:tcW w:type="dxa" w:w="27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Prohibited Without Governance</w:t>
            </w:r>
          </w:p>
        </w:tc>
      </w:tr>
      <w:tr>
        <w:tc>
          <w:tcPr>
            <w:tcW w:type="dxa" w:w="36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Pasting non-public financial data or trade secrets</w:t>
            </w:r>
          </w:p>
        </w:tc>
        <w:tc>
          <w:tcPr>
            <w:tcW w:type="dxa" w:w="3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Competitive and legal exposure</w:t>
            </w:r>
          </w:p>
        </w:tc>
        <w:tc>
          <w:tcPr>
            <w:tcW w:type="dxa" w:w="27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Prohibited Without Governance</w:t>
            </w:r>
          </w:p>
        </w:tc>
      </w:tr>
      <w:tr>
        <w:tc>
          <w:tcPr>
            <w:tcW w:type="dxa" w:w="36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Using AI output for legal, medical, or financial decisions without expert review</w:t>
            </w:r>
          </w:p>
        </w:tc>
        <w:tc>
          <w:tcPr>
            <w:tcW w:type="dxa" w:w="3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High error risk; professional liability</w:t>
            </w:r>
          </w:p>
        </w:tc>
        <w:tc>
          <w:tcPr>
            <w:tcW w:type="dxa" w:w="27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Critical</w:t>
            </w:r>
          </w:p>
        </w:tc>
      </w:tr>
      <w:tr>
        <w:tc>
          <w:tcPr>
            <w:tcW w:type="dxa" w:w="36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Allowing AI to take automated actions without human approval</w:t>
            </w:r>
          </w:p>
        </w:tc>
        <w:tc>
          <w:tcPr>
            <w:tcW w:type="dxa" w:w="3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Irreversible system actions; lack of oversight</w:t>
            </w:r>
          </w:p>
        </w:tc>
        <w:tc>
          <w:tcPr>
            <w:tcW w:type="dxa" w:w="27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Critical / Prohibited</w:t>
            </w:r>
          </w:p>
        </w:tc>
      </w:tr>
      <w:tr>
        <w:tc>
          <w:tcPr>
            <w:tcW w:type="dxa" w:w="36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Presenting AI-generated content as your own work without disclosure (where required)</w:t>
            </w:r>
          </w:p>
        </w:tc>
        <w:tc>
          <w:tcPr>
            <w:tcW w:type="dxa" w:w="3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Integrity and regulatory risk</w:t>
            </w:r>
          </w:p>
        </w:tc>
        <w:tc>
          <w:tcPr>
            <w:tcW w:type="dxa" w:w="27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High</w:t>
            </w:r>
          </w:p>
        </w:tc>
      </w:tr>
      <w:tr>
        <w:tc>
          <w:tcPr>
            <w:tcW w:type="dxa" w:w="36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Using unapproved AI tools for organizational work</w:t>
            </w:r>
          </w:p>
        </w:tc>
        <w:tc>
          <w:tcPr>
            <w:tcW w:type="dxa" w:w="3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Unknown data handling; no governance</w:t>
            </w:r>
          </w:p>
        </w:tc>
        <w:tc>
          <w:tcPr>
            <w:tcW w:type="dxa" w:w="27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Prohibited Without Governance</w:t>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7. Review Requirements by Risk Level</w:t>
      </w:r>
    </w:p>
    <w:p>
      <w:pPr>
        <w:spacing w:after="120" w:before="0"/>
        <w:jc w:val="left"/>
      </w:pPr>
      <w:r>
        <w:rPr>
          <w:rFonts w:ascii="Arial" w:cs="Arial" w:eastAsia="Arial" w:hAnsi="Arial"/>
          <w:b w:val="false"/>
          <w:bCs w:val="false"/>
          <w:i w:val="false"/>
          <w:iCs w:val="false"/>
          <w:sz w:val="22"/>
          <w:szCs w:val="22"/>
        </w:rPr>
        <w:t xml:space="preserve">Use the Risk Ladder from The Operator's Manual for Artificial Intelligence to determine the required level of review before acting on any AI output.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6860"/>
      </w:tblGrid>
      <w:tr>
        <w:trPr>
          <w:tblHeader/>
        </w:trPr>
        <w:tc>
          <w:tcPr>
            <w:tcW w:type="dxa" w:w="25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Risk Level</w:t>
            </w:r>
          </w:p>
        </w:tc>
        <w:tc>
          <w:tcPr>
            <w:tcW w:type="dxa" w:w="68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Required Action Before Use</w:t>
            </w:r>
          </w:p>
        </w:tc>
      </w:tr>
      <w:tr>
        <w:tc>
          <w:tcPr>
            <w:tcW w:type="dxa" w:w="2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Low</w:t>
            </w:r>
          </w:p>
        </w:tc>
        <w:tc>
          <w:tcPr>
            <w:tcW w:type="dxa" w:w="6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Apply standard judgment. No additional review required.</w:t>
            </w:r>
          </w:p>
        </w:tc>
      </w:tr>
      <w:tr>
        <w:tc>
          <w:tcPr>
            <w:tcW w:type="dxa" w:w="2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Medium</w:t>
            </w:r>
          </w:p>
        </w:tc>
        <w:tc>
          <w:tcPr>
            <w:tcW w:type="dxa" w:w="68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Review output before sending to others or using in a decision.</w:t>
            </w:r>
          </w:p>
        </w:tc>
      </w:tr>
      <w:tr>
        <w:tc>
          <w:tcPr>
            <w:tcW w:type="dxa" w:w="2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High</w:t>
            </w:r>
          </w:p>
        </w:tc>
        <w:tc>
          <w:tcPr>
            <w:tcW w:type="dxa" w:w="6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Verify against a primary source or qualified expert. Document the verification.</w:t>
            </w:r>
          </w:p>
        </w:tc>
      </w:tr>
      <w:tr>
        <w:tc>
          <w:tcPr>
            <w:tcW w:type="dxa" w:w="2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Critical</w:t>
            </w:r>
          </w:p>
        </w:tc>
        <w:tc>
          <w:tcPr>
            <w:tcW w:type="dxa" w:w="68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No action without formal human approval. Log the decision. No autonomous action.</w:t>
            </w:r>
          </w:p>
        </w:tc>
      </w:tr>
      <w:tr>
        <w:tc>
          <w:tcPr>
            <w:tcW w:type="dxa" w:w="2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Prohibited Without Governance</w:t>
            </w:r>
          </w:p>
        </w:tc>
        <w:tc>
          <w:tcPr>
            <w:tcW w:type="dxa" w:w="6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Do not proceed. Escalate to Policy Owner for review before taking any action.</w:t>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8. Accountability</w:t>
      </w:r>
    </w:p>
    <w:p>
      <w:pPr>
        <w:spacing w:after="120" w:before="0"/>
        <w:jc w:val="left"/>
      </w:pPr>
      <w:r>
        <w:rPr>
          <w:rFonts w:ascii="Arial" w:cs="Arial" w:eastAsia="Arial" w:hAnsi="Arial"/>
          <w:b w:val="false"/>
          <w:bCs w:val="false"/>
          <w:i w:val="false"/>
          <w:iCs w:val="false"/>
          <w:sz w:val="22"/>
          <w:szCs w:val="22"/>
        </w:rPr>
        <w:t xml:space="preserve">Policy Owner: The individual named in Section 1 is responsible for maintaining this policy, reviewing incidents, and approving exceptions.</w:t>
      </w:r>
    </w:p>
    <w:p>
      <w:pPr>
        <w:spacing w:after="120" w:before="0"/>
        <w:jc w:val="left"/>
      </w:pPr>
      <w:r>
        <w:rPr>
          <w:rFonts w:ascii="Arial" w:cs="Arial" w:eastAsia="Arial" w:hAnsi="Arial"/>
          <w:b w:val="false"/>
          <w:bCs w:val="false"/>
          <w:i w:val="false"/>
          <w:iCs w:val="false"/>
          <w:sz w:val="22"/>
          <w:szCs w:val="22"/>
        </w:rPr>
        <w:t xml:space="preserve">All Users: Employees and contractors are responsible for reading this policy, applying it to their daily work, and reporting incidents or concerns promptly.</w:t>
      </w:r>
    </w:p>
    <w:p>
      <w:pPr>
        <w:spacing w:after="120" w:before="0"/>
        <w:jc w:val="left"/>
      </w:pPr>
      <w:r>
        <w:rPr>
          <w:rFonts w:ascii="Arial" w:cs="Arial" w:eastAsia="Arial" w:hAnsi="Arial"/>
          <w:b w:val="false"/>
          <w:bCs w:val="false"/>
          <w:i w:val="false"/>
          <w:iCs w:val="false"/>
          <w:sz w:val="22"/>
          <w:szCs w:val="22"/>
        </w:rPr>
        <w:t xml:space="preserve">Managers: Managers are responsible for ensuring their teams understand and follow this policy.</w:t>
      </w:r>
    </w:p>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9. Incident Reporting</w:t>
      </w:r>
    </w:p>
    <w:p>
      <w:pPr>
        <w:spacing w:after="120" w:before="0"/>
        <w:jc w:val="left"/>
      </w:pPr>
      <w:r>
        <w:rPr>
          <w:rFonts w:ascii="Arial" w:cs="Arial" w:eastAsia="Arial" w:hAnsi="Arial"/>
          <w:b w:val="false"/>
          <w:bCs w:val="false"/>
          <w:i w:val="false"/>
          <w:iCs w:val="false"/>
          <w:sz w:val="22"/>
          <w:szCs w:val="22"/>
        </w:rPr>
        <w:t xml:space="preserve">Report any suspected AI-related incident — including accidental data exposure, unsafe outputs, unexpected automated actions, or policy violations — immediately to:</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rPr>
          <w:tblHeader/>
        </w:trPr>
        <w:tc>
          <w:tcPr>
            <w:tcW w:type="dxa" w:w="30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Contact</w:t>
            </w:r>
          </w:p>
        </w:tc>
        <w:tc>
          <w:tcPr>
            <w:tcW w:type="dxa" w:w="63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Details</w:t>
            </w:r>
          </w:p>
        </w:tc>
      </w:tr>
      <w:tr>
        <w:tc>
          <w:tcPr>
            <w:tcW w:type="dxa" w:w="3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Policy Owner</w:t>
            </w:r>
          </w:p>
        </w:tc>
        <w:tc>
          <w:tcPr>
            <w:tcW w:type="dxa" w:w="6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Name, email, phone ]</w:t>
            </w:r>
          </w:p>
        </w:tc>
      </w:tr>
      <w:tr>
        <w:tc>
          <w:tcPr>
            <w:tcW w:type="dxa" w:w="3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IT Security</w:t>
            </w:r>
          </w:p>
        </w:tc>
        <w:tc>
          <w:tcPr>
            <w:tcW w:type="dxa" w:w="6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Contact details ]</w:t>
            </w:r>
          </w:p>
        </w:tc>
      </w:tr>
      <w:tr>
        <w:tc>
          <w:tcPr>
            <w:tcW w:type="dxa" w:w="3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Legal / Compliance</w:t>
            </w:r>
          </w:p>
        </w:tc>
        <w:tc>
          <w:tcPr>
            <w:tcW w:type="dxa" w:w="6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Contact details ]</w:t>
            </w:r>
          </w:p>
        </w:tc>
      </w:tr>
    </w:tbl>
    <w:p>
      <w:pPr>
        <w:spacing w:after="120" w:before="0"/>
        <w:jc w:val="left"/>
      </w:pPr>
      <w:r>
        <w:rPr>
          <w:rFonts w:ascii="Arial" w:cs="Arial" w:eastAsia="Arial" w:hAnsi="Arial"/>
          <w:b w:val="false"/>
          <w:bCs w:val="false"/>
          <w:i w:val="false"/>
          <w:iCs w:val="false"/>
          <w:sz w:val="22"/>
          <w:szCs w:val="22"/>
        </w:rPr>
        <w:t xml:space="preserve">Complete an AI Incident Log (Template 4 of this kit) for any confirmed incident. Retain the log for a minimum of [ enter period, e.g., 2 years ].</w:t>
      </w:r>
    </w:p>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10. Compliance and Consequences</w:t>
      </w:r>
    </w:p>
    <w:p>
      <w:pPr>
        <w:spacing w:after="120" w:before="0"/>
        <w:jc w:val="left"/>
      </w:pPr>
      <w:r>
        <w:rPr>
          <w:rFonts w:ascii="Arial" w:cs="Arial" w:eastAsia="Arial" w:hAnsi="Arial"/>
          <w:b w:val="false"/>
          <w:bCs w:val="false"/>
          <w:i w:val="false"/>
          <w:iCs w:val="false"/>
          <w:sz w:val="22"/>
          <w:szCs w:val="22"/>
        </w:rPr>
        <w:t xml:space="preserve">Violation of this policy may result in disciplinary action up to and including termination, legal action, or reporting to relevant regulatory authorities depending on the nature and severity of the violation.</w:t>
      </w:r>
    </w:p>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11. Review Schedule</w:t>
      </w:r>
    </w:p>
    <w:p>
      <w:pPr>
        <w:spacing w:after="120" w:before="0"/>
        <w:jc w:val="left"/>
      </w:pPr>
      <w:r>
        <w:rPr>
          <w:rFonts w:ascii="Arial" w:cs="Arial" w:eastAsia="Arial" w:hAnsi="Arial"/>
          <w:b w:val="false"/>
          <w:bCs w:val="false"/>
          <w:i w:val="false"/>
          <w:iCs w:val="false"/>
          <w:sz w:val="22"/>
          <w:szCs w:val="22"/>
        </w:rPr>
        <w:t xml:space="preserve">This policy must be reviewed at least annually or whenever a significant change occurs — such as the adoption of a new AI tool, a regulatory change, or a significant incident.</w:t>
      </w:r>
    </w:p>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12. Acknowledgment</w:t>
      </w:r>
    </w:p>
    <w:p>
      <w:pPr>
        <w:spacing w:after="120" w:before="0"/>
        <w:jc w:val="left"/>
      </w:pPr>
      <w:r>
        <w:rPr>
          <w:rFonts w:ascii="Arial" w:cs="Arial" w:eastAsia="Arial" w:hAnsi="Arial"/>
          <w:b w:val="false"/>
          <w:bCs w:val="false"/>
          <w:i w:val="false"/>
          <w:iCs w:val="false"/>
          <w:sz w:val="22"/>
          <w:szCs w:val="22"/>
        </w:rPr>
        <w:t xml:space="preserve">By signing below, I confirm that I have read, understood, and agree to comply with this Acceptable-Use Policy.</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Full Name</w:t>
            </w:r>
          </w:p>
          <w:p>
            <w:pPr>
              <w:spacing w:after="100"/>
            </w:pPr>
            <w:r>
              <w:rPr>
                <w:rFonts w:ascii="Arial" w:cs="Arial" w:eastAsia="Arial" w:hAnsi="Arial"/>
                <w:sz w:val="22"/>
                <w:szCs w:val="22"/>
              </w:rPr>
              <w:t xml:space="preserve"/>
            </w:r>
          </w:p>
        </w:tc>
        <w:tc>
          <w:tcPr>
            <w:tcW w:type="dxa" w:w="468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Job Title / Role</w:t>
            </w:r>
          </w:p>
          <w:p>
            <w:pPr>
              <w:spacing w:after="100"/>
            </w:pPr>
            <w:r>
              <w:rPr>
                <w:rFonts w:ascii="Arial" w:cs="Arial" w:eastAsia="Arial" w:hAnsi="Arial"/>
                <w:sz w:val="22"/>
                <w:szCs w:val="22"/>
              </w:rPr>
              <w:t xml:space="preserve"/>
            </w:r>
          </w:p>
        </w:tc>
      </w:tr>
      <w:tr>
        <w:tc>
          <w:tcPr>
            <w:tcW w:type="dxa" w:w="468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Signature</w:t>
            </w:r>
          </w:p>
          <w:p>
            <w:pPr>
              <w:spacing w:after="100"/>
            </w:pPr>
            <w:r>
              <w:rPr>
                <w:rFonts w:ascii="Arial" w:cs="Arial" w:eastAsia="Arial" w:hAnsi="Arial"/>
                <w:sz w:val="22"/>
                <w:szCs w:val="22"/>
              </w:rPr>
              <w:t xml:space="preserve"/>
            </w:r>
          </w:p>
        </w:tc>
        <w:tc>
          <w:tcPr>
            <w:tcW w:type="dxa" w:w="468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Date</w:t>
            </w:r>
          </w:p>
          <w:p>
            <w:pPr>
              <w:spacing w:after="100"/>
            </w:pPr>
            <w:r>
              <w:rPr>
                <w:rFonts w:ascii="Arial" w:cs="Arial" w:eastAsia="Arial" w:hAnsi="Arial"/>
                <w:sz w:val="22"/>
                <w:szCs w:val="22"/>
              </w:rPr>
              <w:t xml:space="preserve"/>
            </w:r>
          </w:p>
        </w:tc>
      </w:tr>
      <w:tr>
        <w:tc>
          <w:tcPr>
            <w:tcW w:type="dxa" w:w="468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Team / Department</w:t>
            </w:r>
          </w:p>
          <w:p>
            <w:pPr>
              <w:spacing w:after="100"/>
            </w:pPr>
            <w:r>
              <w:rPr>
                <w:rFonts w:ascii="Arial" w:cs="Arial" w:eastAsia="Arial" w:hAnsi="Arial"/>
                <w:sz w:val="22"/>
                <w:szCs w:val="22"/>
              </w:rPr>
              <w:t xml:space="preserve"/>
            </w:r>
          </w:p>
        </w:tc>
        <w:tc>
          <w:tcPr>
            <w:tcW w:type="dxa" w:w="468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Employee ID (if applicable)</w:t>
            </w:r>
          </w:p>
          <w:p>
            <w:pPr>
              <w:spacing w:after="100"/>
            </w:pPr>
            <w:r>
              <w:rPr>
                <w:rFonts w:ascii="Arial" w:cs="Arial" w:eastAsia="Arial" w:hAnsi="Arial"/>
                <w:sz w:val="22"/>
                <w:szCs w:val="22"/>
              </w:rPr>
              <w:t xml:space="preserve"/>
            </w:r>
          </w:p>
        </w:tc>
      </w:tr>
    </w:tbl>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b w:val="false"/>
        <w:bCs w:val="false"/>
        <w:i w:val="false"/>
        <w:iCs w:val="false"/>
        <w:color w:val="999999"/>
        <w:sz w:val="18"/>
        <w:szCs w:val="18"/>
      </w:rPr>
      <w:t xml:space="preserve">The Operator's Manual for Artificial Intelligence  —  Template Kit  |  Page </w:t>
    </w:r>
    <w:r>
      <w:rPr>
        <w:rFonts w:ascii="Arial" w:cs="Arial" w:eastAsia="Arial" w:hAnsi="Arial"/>
        <w:color w:val="999999"/>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2026-06-21T13:52:54.954Z</dcterms:created>
  <dcterms:modified xsi:type="dcterms:W3CDTF">2026-06-21T13:52:54.954Z</dcterms:modified>
</cp:coreProperties>
</file>

<file path=docProps/custom.xml><?xml version="1.0" encoding="utf-8"?>
<Properties xmlns="http://schemas.openxmlformats.org/officeDocument/2006/custom-properties" xmlns:vt="http://schemas.openxmlformats.org/officeDocument/2006/docPropsVTypes"/>
</file>